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1AC" w:rsidRPr="00327726" w:rsidRDefault="0073033D" w:rsidP="00327726">
      <w:pPr>
        <w:bidi/>
        <w:spacing w:after="0"/>
        <w:jc w:val="center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خارج اصول</w:t>
      </w:r>
    </w:p>
    <w:p w:rsidR="00327726" w:rsidRPr="00327726" w:rsidRDefault="004A01A9" w:rsidP="00327726">
      <w:pPr>
        <w:bidi/>
        <w:spacing w:after="0"/>
        <w:jc w:val="center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جلسه </w:t>
      </w:r>
      <w:r w:rsidR="00327726">
        <w:rPr>
          <w:rFonts w:ascii="Noor_Badr" w:hAnsi="Noor_Badr" w:cs="Noor_Badr" w:hint="cs"/>
          <w:sz w:val="32"/>
          <w:szCs w:val="32"/>
          <w:rtl/>
          <w:lang w:bidi="fa-IR"/>
        </w:rPr>
        <w:t xml:space="preserve">42 * </w:t>
      </w:r>
      <w:r w:rsidR="00C65718" w:rsidRPr="00327726">
        <w:rPr>
          <w:rFonts w:ascii="Noor_Badr" w:hAnsi="Noor_Badr" w:cs="Noor_Badr"/>
          <w:sz w:val="32"/>
          <w:szCs w:val="32"/>
          <w:rtl/>
          <w:lang w:bidi="fa-IR"/>
        </w:rPr>
        <w:t>دوشنبه 19/ 9/ 97</w:t>
      </w:r>
      <w:r w:rsidR="00327726">
        <w:rPr>
          <w:rFonts w:ascii="Noor_Badr" w:hAnsi="Noor_Badr" w:cs="Noor_Badr" w:hint="cs"/>
          <w:sz w:val="32"/>
          <w:szCs w:val="32"/>
          <w:rtl/>
          <w:lang w:bidi="fa-IR"/>
        </w:rPr>
        <w:t xml:space="preserve"> </w:t>
      </w:r>
      <w:bookmarkStart w:id="0" w:name="_GoBack"/>
      <w:bookmarkEnd w:id="0"/>
      <w:r w:rsidR="00327726">
        <w:rPr>
          <w:rFonts w:ascii="Noor_Badr" w:hAnsi="Noor_Badr" w:cs="Noor_Badr" w:hint="cs"/>
          <w:sz w:val="32"/>
          <w:szCs w:val="32"/>
          <w:rtl/>
          <w:lang w:bidi="fa-IR"/>
        </w:rPr>
        <w:t>__________________________________________________________</w:t>
      </w:r>
    </w:p>
    <w:p w:rsidR="006221AC" w:rsidRPr="00327726" w:rsidRDefault="001A3FF5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حدیث-</w:t>
      </w:r>
      <w:r w:rsidR="00327726">
        <w:rPr>
          <w:rFonts w:ascii="Noor_Badr" w:hAnsi="Noor_Badr" w:cs="Noor_Badr" w:hint="cs"/>
          <w:sz w:val="32"/>
          <w:szCs w:val="32"/>
          <w:rtl/>
          <w:lang w:bidi="fa-IR"/>
        </w:rPr>
        <w:t xml:space="preserve"> 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>ادامه خطبه وسیله</w:t>
      </w:r>
    </w:p>
    <w:p w:rsidR="001A3FF5" w:rsidRPr="00327726" w:rsidRDefault="000433FB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رب طمع خائب و أمل كاذب</w:t>
      </w:r>
    </w:p>
    <w:p w:rsidR="000433FB" w:rsidRPr="00327726" w:rsidRDefault="000433FB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خائب: باعث ضرر و زیان-کاذب: غیر واقعی</w:t>
      </w:r>
    </w:p>
    <w:p w:rsidR="000433FB" w:rsidRPr="00327726" w:rsidRDefault="000433FB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0433FB" w:rsidRPr="00327726" w:rsidRDefault="004D5042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کلام در فرمایش محقق خوئی بود که فرمود: عمل تقیه ای دو صورت دارد:</w:t>
      </w:r>
      <w:r w:rsidR="004E1827"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>یا امر مختص دارد یا ندارد و صورت دوم دو قسم است: یا مبتلابه بوده و زیاد در حضور معصوم بدون منع ایشان اتفاق افتاده یا مبتلابه نبوده</w:t>
      </w:r>
      <w:r w:rsidR="004E1827"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است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>؛</w:t>
      </w:r>
    </w:p>
    <w:p w:rsidR="004D5042" w:rsidRPr="00327726" w:rsidRDefault="004D5042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قسم دوم از صورت دوم(غیرمبتلابه):</w:t>
      </w:r>
      <w:r w:rsidR="001E2388"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>ایشان مثال می زند به وضو با نبیذ خصوصا نبیذ مسکر</w:t>
      </w:r>
      <w:r w:rsidR="000802EC"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که برخی از اهل تسنن</w:t>
      </w:r>
      <w:r w:rsidR="001E2388"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در صورت فقدان آب</w:t>
      </w:r>
      <w:r w:rsidR="000802EC"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فتوا به جواز داده اند؛ اگر شیعه تقیةً با نبیذ وضو بگیرد و قائل به جواز شویم، مجزی از ماموربه نیست زیرا مورد نادری است و در حضور معصوم واقع نشده ودرنتیجه مورد سیره نمی باشد لذا مجزی نیست.واز همین قبیل است مسح بر خفّین.</w:t>
      </w:r>
    </w:p>
    <w:p w:rsidR="000802EC" w:rsidRPr="00327726" w:rsidRDefault="000802EC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خلاصه فرما</w:t>
      </w:r>
      <w:r w:rsidR="00D43AB0" w:rsidRPr="00327726">
        <w:rPr>
          <w:rFonts w:ascii="Noor_Badr" w:hAnsi="Noor_Badr" w:cs="Noor_Badr"/>
          <w:sz w:val="32"/>
          <w:szCs w:val="32"/>
          <w:rtl/>
          <w:lang w:bidi="fa-IR"/>
        </w:rPr>
        <w:t>ی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>ش محقق خوئی: اگر بر مطلوبیت ماموربه اضطراری، امر لفظی یا لبّی وجود داشته باشد، اتیان</w:t>
      </w:r>
      <w:r w:rsidR="00D43AB0"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این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مامو</w:t>
      </w:r>
      <w:r w:rsidR="00851F16" w:rsidRPr="00327726">
        <w:rPr>
          <w:rFonts w:ascii="Noor_Badr" w:hAnsi="Noor_Badr" w:cs="Noor_Badr"/>
          <w:sz w:val="32"/>
          <w:szCs w:val="32"/>
          <w:rtl/>
          <w:lang w:bidi="fa-IR"/>
        </w:rPr>
        <w:t>ربه</w:t>
      </w:r>
      <w:r w:rsidR="00D43AB0" w:rsidRPr="00327726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851F16"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مجزی است و قول به اجزا</w:t>
      </w:r>
      <w:r w:rsidR="00AB1ADC"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در فرمایش ایشان</w:t>
      </w:r>
      <w:r w:rsidR="00634D9F" w:rsidRPr="00327726">
        <w:rPr>
          <w:rFonts w:ascii="Noor_Badr" w:hAnsi="Noor_Badr" w:cs="Noor_Badr"/>
          <w:sz w:val="32"/>
          <w:szCs w:val="32"/>
          <w:rtl/>
          <w:lang w:bidi="fa-IR"/>
        </w:rPr>
        <w:t>، متوقف</w:t>
      </w:r>
      <w:r w:rsidR="00851F16"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بر دو عنصر است: </w:t>
      </w:r>
    </w:p>
    <w:p w:rsidR="00851F16" w:rsidRPr="00327726" w:rsidRDefault="00851F16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1-تقیه مداراتی باشد.</w:t>
      </w:r>
    </w:p>
    <w:p w:rsidR="00851F16" w:rsidRPr="00327726" w:rsidRDefault="00851F16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2-امر به فعل اضطراری و حج</w:t>
      </w:r>
      <w:r w:rsidR="0076571D" w:rsidRPr="00327726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>ت شرعی بر آن موجود باشد.</w:t>
      </w:r>
    </w:p>
    <w:p w:rsidR="00AD24DD" w:rsidRPr="00327726" w:rsidRDefault="00851F16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lastRenderedPageBreak/>
        <w:t>بنابراین سرّ در اجزا، وجود اطلاق ادله اضطراری است بر اینکه ماموربه اضطراری مصلحتی دارد که هرچه از مصلحت امر واقعی فوت شود، جبران می شود و بدین وسیله اطلاق ادله امر واقعی تق</w:t>
      </w:r>
      <w:r w:rsidR="0076571D" w:rsidRPr="00327726">
        <w:rPr>
          <w:rFonts w:ascii="Noor_Badr" w:hAnsi="Noor_Badr" w:cs="Noor_Badr"/>
          <w:sz w:val="32"/>
          <w:szCs w:val="32"/>
          <w:rtl/>
          <w:lang w:bidi="fa-IR"/>
        </w:rPr>
        <w:t>ی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>ید می شود.</w:t>
      </w:r>
      <w:r w:rsidR="001202FC"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D12850" w:rsidRPr="00327726">
        <w:rPr>
          <w:rFonts w:ascii="Noor_Badr" w:hAnsi="Noor_Badr" w:cs="Noor_Badr"/>
          <w:sz w:val="32"/>
          <w:szCs w:val="32"/>
          <w:rtl/>
          <w:lang w:bidi="fa-IR"/>
        </w:rPr>
        <w:t>و رمز جبران مصلحت واقعی، عنوان مدارا با اهل تسنن است مثلا نماز با آنها را بعنوان یکی از مصادیق</w:t>
      </w:r>
      <w:r w:rsidR="001202FC" w:rsidRPr="00327726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D12850"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جامع</w:t>
      </w:r>
      <w:r w:rsidR="001202FC" w:rsidRPr="00327726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D12850"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نماز</w:t>
      </w:r>
      <w:r w:rsidR="001202FC" w:rsidRPr="00327726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D12850"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واجب می داند بطوریکه نماز ظهر عبارت است از جامعی که دو</w:t>
      </w:r>
      <w:r w:rsidR="00AD24DD"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EC189E" w:rsidRPr="00327726">
        <w:rPr>
          <w:rFonts w:ascii="Noor_Badr" w:hAnsi="Noor_Badr" w:cs="Noor_Badr"/>
          <w:sz w:val="32"/>
          <w:szCs w:val="32"/>
          <w:rtl/>
          <w:lang w:bidi="fa-IR"/>
        </w:rPr>
        <w:t>فرد دارد:</w:t>
      </w:r>
    </w:p>
    <w:p w:rsidR="00EC189E" w:rsidRPr="00327726" w:rsidRDefault="00EC189E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1)نماز با امام جماعت سنّی</w:t>
      </w:r>
    </w:p>
    <w:p w:rsidR="00EC189E" w:rsidRPr="00327726" w:rsidRDefault="00EC189E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2)نماز با امام جماعت شیعه</w:t>
      </w:r>
    </w:p>
    <w:p w:rsidR="00AD24DD" w:rsidRPr="00327726" w:rsidRDefault="00EC189E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نظیر نماز بالنسبه با سفروحضر(دورکعتی و چهاررکعتی)</w:t>
      </w:r>
    </w:p>
    <w:p w:rsidR="00E93BA3" w:rsidRPr="00327726" w:rsidRDefault="000324AC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بنابراین عنوان مداراة در ادله اجتهادی</w:t>
      </w:r>
      <w:r w:rsidR="00115E37" w:rsidRPr="00327726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حکم</w:t>
      </w:r>
      <w:r w:rsidR="00115E37" w:rsidRPr="00327726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اضطراری در مقام اثبات لفظا</w:t>
      </w:r>
      <w:r w:rsidR="00115E37" w:rsidRPr="00327726">
        <w:rPr>
          <w:rFonts w:ascii="Noor_Badr" w:hAnsi="Noor_Badr" w:cs="Noor_Badr"/>
          <w:sz w:val="32"/>
          <w:szCs w:val="32"/>
          <w:rtl/>
          <w:lang w:bidi="fa-IR"/>
        </w:rPr>
        <w:t>ً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یا ظهورا</w:t>
      </w:r>
      <w:r w:rsidR="00115E37" w:rsidRPr="00327726">
        <w:rPr>
          <w:rFonts w:ascii="Noor_Badr" w:hAnsi="Noor_Badr" w:cs="Noor_Badr"/>
          <w:sz w:val="32"/>
          <w:szCs w:val="32"/>
          <w:rtl/>
          <w:lang w:bidi="fa-IR"/>
        </w:rPr>
        <w:t>ً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یا لبّا</w:t>
      </w:r>
      <w:r w:rsidR="00115E37" w:rsidRPr="00327726">
        <w:rPr>
          <w:rFonts w:ascii="Noor_Badr" w:hAnsi="Noor_Badr" w:cs="Noor_Badr"/>
          <w:sz w:val="32"/>
          <w:szCs w:val="32"/>
          <w:rtl/>
          <w:lang w:bidi="fa-IR"/>
        </w:rPr>
        <w:t>ً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>، دلالت دارد بر کفایت ماموربه اضطراری و وفاء به تمام مصلحت ماموربه اولی؛ و می توان مانحن فیه را به زکات تشبیه کرد که حکم اولی اش پرداخت به فقرای شیعه است و حکم ثانوی اش فقرای سنّی باعنوان تألیف قلوب زیرا این عنوان شبیه عنوان مداراست.</w:t>
      </w:r>
    </w:p>
    <w:p w:rsidR="00E93BA3" w:rsidRPr="00327726" w:rsidRDefault="00E93BA3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جمع بین روایات:</w:t>
      </w:r>
    </w:p>
    <w:p w:rsidR="00E93BA3" w:rsidRPr="00327726" w:rsidRDefault="00E93BA3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باتوجه به مطالب مذکور</w:t>
      </w:r>
      <w:r w:rsidR="00115E37" w:rsidRPr="00327726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رو</w:t>
      </w:r>
      <w:r w:rsidR="00115E37" w:rsidRPr="00327726">
        <w:rPr>
          <w:rFonts w:ascii="Noor_Badr" w:hAnsi="Noor_Badr" w:cs="Noor_Badr"/>
          <w:sz w:val="32"/>
          <w:szCs w:val="32"/>
          <w:rtl/>
          <w:lang w:bidi="fa-IR"/>
        </w:rPr>
        <w:t>ا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>یات بصورت منطقی قابل جمع اند:</w:t>
      </w:r>
    </w:p>
    <w:p w:rsidR="00E93BA3" w:rsidRPr="00327726" w:rsidRDefault="00E93BA3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اولا: بین روایات معارضه نیست</w:t>
      </w:r>
      <w:r w:rsidR="008D0AC7" w:rsidRPr="00327726">
        <w:rPr>
          <w:rFonts w:ascii="Noor_Badr" w:hAnsi="Noor_Badr" w:cs="Noor_Badr"/>
          <w:sz w:val="32"/>
          <w:szCs w:val="32"/>
          <w:rtl/>
          <w:lang w:bidi="fa-IR"/>
        </w:rPr>
        <w:t>.روایات مانعه بر وجوه مختلفی حمل شده اند که بحث مفصل آن در فقه است؛ اکثر این روایات سند ندارد یا ضعیف است.</w:t>
      </w:r>
    </w:p>
    <w:p w:rsidR="00931ABD" w:rsidRPr="00327726" w:rsidRDefault="00F2476A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ثانیا: سل</w:t>
      </w:r>
      <w:r w:rsidR="00EE479A" w:rsidRPr="00327726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>منا بوجود معارضه و تمامی</w:t>
      </w:r>
      <w:r w:rsidR="00EE479A" w:rsidRPr="00327726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>ت سند و دلالت روایات مانعه، می گوییم: روایات مانعه حمل می شوند بر موردی که مداراة موضوعی</w:t>
      </w:r>
      <w:r w:rsidR="00EE479A" w:rsidRPr="00327726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>ت ندارد یعنی مکلف مضطرّ</w:t>
      </w:r>
      <w:r w:rsidR="00EE479A" w:rsidRPr="00327726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به مدارا نیست لذا این طایفه از روایات از مانحن فیه خارج اند.اما موضوع</w:t>
      </w:r>
      <w:r w:rsidR="00EE479A" w:rsidRPr="00327726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روایات</w:t>
      </w:r>
      <w:r w:rsidR="00EE479A" w:rsidRPr="00327726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مجوّزه، تقیه و صرف مداراة است لذا وجه فتوای علمایی همچون امام و محقق خوئی به اجزاء و عدم وجوب اعاده و قضا، واضح می گردد.لذا فرمایش محقق خوئی که در قالب دو عنصر</w:t>
      </w:r>
      <w:r w:rsidR="00931ABD"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بیان شد، مورد قبول ومختار ماست.</w:t>
      </w:r>
    </w:p>
    <w:p w:rsidR="00AD24DD" w:rsidRPr="00327726" w:rsidRDefault="00931ABD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سپس ایشان مبنای خود را با این عبارت تایید می کند:</w:t>
      </w:r>
    </w:p>
    <w:p w:rsidR="00AD24DD" w:rsidRPr="00327726" w:rsidRDefault="00931ABD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قد ورد فی بعض الروایات ما لاتقبل المناقشه فی دلالته</w:t>
      </w:r>
      <w:r w:rsidR="00EE479A"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علی الاجزاء و هذا کما دلّ علی أ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>ن</w:t>
      </w:r>
      <w:r w:rsidR="00EE479A" w:rsidRPr="00327726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من صل</w:t>
      </w:r>
      <w:r w:rsidR="00EE479A" w:rsidRPr="00327726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>ی معهم فی الصف</w:t>
      </w:r>
      <w:r w:rsidR="00EE479A" w:rsidRPr="00327726">
        <w:rPr>
          <w:rFonts w:ascii="Noor_Badr" w:hAnsi="Noor_Badr" w:cs="Noor_Badr"/>
          <w:sz w:val="32"/>
          <w:szCs w:val="32"/>
          <w:rtl/>
          <w:lang w:bidi="fa-IR"/>
        </w:rPr>
        <w:t>ّ الأ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>ول کان کمن صل</w:t>
      </w:r>
      <w:r w:rsidR="00EE479A" w:rsidRPr="00327726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>ی خلف رسول الله أفیحتمل عدم کون الصلاة خلف رسول الله مجزئة عن الماموربه الاو</w:t>
      </w:r>
      <w:r w:rsidR="008523D2" w:rsidRPr="00327726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="00EE479A" w:rsidRPr="00327726">
        <w:rPr>
          <w:rFonts w:ascii="Noor_Badr" w:hAnsi="Noor_Badr" w:cs="Noor_Badr"/>
          <w:sz w:val="32"/>
          <w:szCs w:val="32"/>
          <w:rtl/>
          <w:lang w:bidi="fa-IR"/>
        </w:rPr>
        <w:t>لی؟.</w:t>
      </w:r>
      <w:r w:rsidR="008523D2" w:rsidRPr="00327726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1"/>
      </w:r>
    </w:p>
    <w:p w:rsidR="000802EC" w:rsidRPr="00327726" w:rsidRDefault="00DC53C0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بنابراین ما در بحث تقیه</w:t>
      </w:r>
      <w:r w:rsidR="00101858"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یِ</w:t>
      </w:r>
      <w:r w:rsidRPr="00327726">
        <w:rPr>
          <w:rFonts w:ascii="Noor_Badr" w:hAnsi="Noor_Badr" w:cs="Noor_Badr"/>
          <w:sz w:val="32"/>
          <w:szCs w:val="32"/>
          <w:rtl/>
          <w:lang w:bidi="fa-IR"/>
        </w:rPr>
        <w:t xml:space="preserve"> مدارارتی، قائل به اجزاء هستیم؛ اما تقیه خوفی در بحث ضرر باید بررسی شود.</w:t>
      </w:r>
    </w:p>
    <w:p w:rsidR="00101858" w:rsidRPr="00327726" w:rsidRDefault="00535A9D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27726">
        <w:rPr>
          <w:rFonts w:ascii="Noor_Badr" w:hAnsi="Noor_Badr" w:cs="Noor_Badr"/>
          <w:sz w:val="32"/>
          <w:szCs w:val="32"/>
          <w:rtl/>
          <w:lang w:bidi="fa-IR"/>
        </w:rPr>
        <w:t>(پایان)</w:t>
      </w:r>
    </w:p>
    <w:p w:rsidR="000802EC" w:rsidRPr="00327726" w:rsidRDefault="000802EC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0802EC" w:rsidRPr="00327726" w:rsidRDefault="000802EC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0802EC" w:rsidRPr="00327726" w:rsidRDefault="000802EC" w:rsidP="00327726">
      <w:pPr>
        <w:bidi/>
        <w:spacing w:after="0"/>
        <w:jc w:val="both"/>
        <w:rPr>
          <w:rFonts w:ascii="Noor_Badr" w:hAnsi="Noor_Badr" w:cs="Noor_Badr"/>
          <w:sz w:val="32"/>
          <w:szCs w:val="32"/>
          <w:lang w:bidi="fa-IR"/>
        </w:rPr>
      </w:pPr>
    </w:p>
    <w:sectPr w:rsidR="000802EC" w:rsidRPr="00327726" w:rsidSect="006221AC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CBA" w:rsidRDefault="000D4CBA" w:rsidP="008523D2">
      <w:pPr>
        <w:spacing w:after="0" w:line="240" w:lineRule="auto"/>
      </w:pPr>
      <w:r>
        <w:separator/>
      </w:r>
    </w:p>
  </w:endnote>
  <w:endnote w:type="continuationSeparator" w:id="0">
    <w:p w:rsidR="000D4CBA" w:rsidRDefault="000D4CBA" w:rsidP="00852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CBA" w:rsidRDefault="000D4CBA" w:rsidP="008523D2">
      <w:pPr>
        <w:spacing w:after="0" w:line="240" w:lineRule="auto"/>
      </w:pPr>
      <w:r>
        <w:separator/>
      </w:r>
    </w:p>
  </w:footnote>
  <w:footnote w:type="continuationSeparator" w:id="0">
    <w:p w:rsidR="000D4CBA" w:rsidRDefault="000D4CBA" w:rsidP="008523D2">
      <w:pPr>
        <w:spacing w:after="0" w:line="240" w:lineRule="auto"/>
      </w:pPr>
      <w:r>
        <w:continuationSeparator/>
      </w:r>
    </w:p>
  </w:footnote>
  <w:footnote w:id="1">
    <w:p w:rsidR="008523D2" w:rsidRPr="008523D2" w:rsidRDefault="008523D2">
      <w:pPr>
        <w:pStyle w:val="FootnoteText"/>
        <w:rPr>
          <w:sz w:val="24"/>
          <w:szCs w:val="24"/>
          <w:rtl/>
          <w:lang w:bidi="fa-IR"/>
        </w:rPr>
      </w:pPr>
      <w:r w:rsidRPr="008523D2">
        <w:rPr>
          <w:rStyle w:val="FootnoteReference"/>
          <w:sz w:val="24"/>
          <w:szCs w:val="24"/>
        </w:rPr>
        <w:footnoteRef/>
      </w:r>
      <w:r w:rsidRPr="008523D2">
        <w:rPr>
          <w:sz w:val="24"/>
          <w:szCs w:val="24"/>
        </w:rPr>
        <w:t xml:space="preserve"> </w:t>
      </w:r>
      <w:r w:rsidRPr="008523D2">
        <w:rPr>
          <w:rFonts w:hint="cs"/>
          <w:sz w:val="24"/>
          <w:szCs w:val="24"/>
          <w:rtl/>
          <w:lang w:bidi="fa-IR"/>
        </w:rPr>
        <w:t>التنقیح ج5 ص290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33D"/>
    <w:rsid w:val="000324AC"/>
    <w:rsid w:val="000433FB"/>
    <w:rsid w:val="000802EC"/>
    <w:rsid w:val="000B0D22"/>
    <w:rsid w:val="000D4CBA"/>
    <w:rsid w:val="00101858"/>
    <w:rsid w:val="00115E37"/>
    <w:rsid w:val="001202FC"/>
    <w:rsid w:val="001A3FF5"/>
    <w:rsid w:val="001E2388"/>
    <w:rsid w:val="00327726"/>
    <w:rsid w:val="0041493E"/>
    <w:rsid w:val="004A01A9"/>
    <w:rsid w:val="004D5042"/>
    <w:rsid w:val="004E1827"/>
    <w:rsid w:val="00535A9D"/>
    <w:rsid w:val="005C7205"/>
    <w:rsid w:val="006221AC"/>
    <w:rsid w:val="00634D9F"/>
    <w:rsid w:val="00644DF4"/>
    <w:rsid w:val="0073033D"/>
    <w:rsid w:val="0076571D"/>
    <w:rsid w:val="00785C24"/>
    <w:rsid w:val="00815B25"/>
    <w:rsid w:val="00851F16"/>
    <w:rsid w:val="008523D2"/>
    <w:rsid w:val="008D0AC7"/>
    <w:rsid w:val="00931ABD"/>
    <w:rsid w:val="00AB1ADC"/>
    <w:rsid w:val="00AD24DD"/>
    <w:rsid w:val="00C65718"/>
    <w:rsid w:val="00D12850"/>
    <w:rsid w:val="00D43AB0"/>
    <w:rsid w:val="00DC53C0"/>
    <w:rsid w:val="00E93BA3"/>
    <w:rsid w:val="00EC189E"/>
    <w:rsid w:val="00EE479A"/>
    <w:rsid w:val="00F2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523D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23D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523D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523D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23D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523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29</cp:revision>
  <dcterms:created xsi:type="dcterms:W3CDTF">2019-01-05T07:43:00Z</dcterms:created>
  <dcterms:modified xsi:type="dcterms:W3CDTF">2020-08-24T02:03:00Z</dcterms:modified>
</cp:coreProperties>
</file>